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2" w:rsidRPr="00BE4F22" w:rsidRDefault="00BE4F22" w:rsidP="00BE4F22">
      <w:pPr>
        <w:pStyle w:val="a3"/>
        <w:ind w:left="0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E4F22">
        <w:rPr>
          <w:rFonts w:ascii="Times New Roman" w:hAnsi="Times New Roman" w:cs="Times New Roman"/>
        </w:rPr>
        <w:t>Приложени</w:t>
      </w:r>
      <w:r w:rsidR="0089213B">
        <w:rPr>
          <w:rFonts w:ascii="Times New Roman" w:hAnsi="Times New Roman" w:cs="Times New Roman"/>
        </w:rPr>
        <w:t>е</w:t>
      </w:r>
      <w:r w:rsidRPr="00BE4F22">
        <w:rPr>
          <w:rFonts w:ascii="Times New Roman" w:hAnsi="Times New Roman" w:cs="Times New Roman"/>
        </w:rPr>
        <w:t xml:space="preserve"> 1</w:t>
      </w:r>
      <w:r w:rsidR="0089213B">
        <w:rPr>
          <w:rFonts w:ascii="Times New Roman" w:hAnsi="Times New Roman" w:cs="Times New Roman"/>
        </w:rPr>
        <w:t>. П</w:t>
      </w:r>
      <w:r w:rsidRPr="00BE4F22">
        <w:rPr>
          <w:rFonts w:ascii="Times New Roman" w:hAnsi="Times New Roman" w:cs="Times New Roman"/>
        </w:rPr>
        <w:t>еречень договоров, заключенных ЖСК «Остров» с момента основания.</w:t>
      </w:r>
    </w:p>
    <w:p w:rsidR="00BE4F22" w:rsidRPr="00BE4F22" w:rsidRDefault="00BE4F22" w:rsidP="00BE4F22">
      <w:pPr>
        <w:pStyle w:val="a3"/>
        <w:ind w:left="0" w:firstLine="708"/>
        <w:jc w:val="right"/>
        <w:rPr>
          <w:rFonts w:ascii="Times New Roman" w:hAnsi="Times New Roman" w:cs="Times New Roman"/>
        </w:rPr>
      </w:pPr>
    </w:p>
    <w:tbl>
      <w:tblPr>
        <w:tblStyle w:val="a4"/>
        <w:tblW w:w="160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114"/>
        <w:gridCol w:w="3221"/>
        <w:gridCol w:w="1137"/>
        <w:gridCol w:w="1175"/>
        <w:gridCol w:w="1104"/>
        <w:gridCol w:w="1159"/>
        <w:gridCol w:w="1691"/>
        <w:gridCol w:w="1691"/>
      </w:tblGrid>
      <w:tr w:rsidR="00BE4F22" w:rsidRPr="00BE4F22" w:rsidTr="00FF1034">
        <w:trPr>
          <w:trHeight w:val="21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Реквизиты и предмет договора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Контрагенты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Сумма договора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Принято и оплачено работ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Аванс по договору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Неотработанный остаток аванса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proofErr w:type="spellStart"/>
            <w:r w:rsidRPr="00BE4F22">
              <w:rPr>
                <w:rFonts w:ascii="Times New Roman" w:hAnsi="Times New Roman" w:cs="Times New Roman"/>
              </w:rPr>
              <w:t>Обьем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финансирования необходимый для завершения работ по договору (Сумма договора - принято - остаток аванса)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BE4F22" w:rsidRPr="00BE4F22" w:rsidTr="00FF1034">
        <w:trPr>
          <w:trHeight w:val="287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Расходы на подготовительный этап до 2016г. (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Перечетная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ведомость и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поруб.билеты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, выполнение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подеревной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съемки, вырубка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зел.нас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,  выращивание и пересадка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краснокнижных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деревьев, расчистка земельных участков, проектирование, оплата технологического присоединения на электричество и воду)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БРАВТЭКО, Бюро кадастровых инженеров №1,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ВостокКонстракшн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, ГЕОКАД-ДВ, ГТС ДВО РАН,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Дальгеосервис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, ДВ Стройиндустрия, ДВФУ ,ИП Заяц Наталья Анатольевна, Капитель, КГУП "Приморский РЦЦС", НПЦ ИКЭ, ОАО "ДНИИМФ", ПЛАН, Приморский водоканал, Проектная мастерская "ОСНОВА", УФК по Приморскому краю(Администрация города Владивостока),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Экоинвест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, АО "ДРСК", ГРОСС, ЕДИНЫЙ ЦЕНТР СНАБЖЕНИЯ ДВ, ИП Солдатова Дарья Сергеевна, ИП Чудин Юрий Геннадьевич, НПЦ ИКЭ, ООО "ДВ Экспертиза Проект", СК "АЛГОРИТМ", ПРИМОРСКОЕ </w:t>
            </w:r>
            <w:r w:rsidRPr="00BE4F22">
              <w:rPr>
                <w:rFonts w:ascii="Times New Roman" w:hAnsi="Times New Roman" w:cs="Times New Roman"/>
              </w:rPr>
              <w:lastRenderedPageBreak/>
              <w:t xml:space="preserve">УГМС ФГБУ,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Стройкомпакт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, УФК по Приморскому краю(Администрация города Владивостока),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Экоаналитика</w:t>
            </w:r>
            <w:proofErr w:type="spellEnd"/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103 362 398,72р.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103 362 398,72р.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Подключение к сети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ДРСК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20 725 992,00р.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20 725 992,00р.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ДОМ.РФ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proofErr w:type="spellStart"/>
            <w:r w:rsidRPr="00BE4F22">
              <w:rPr>
                <w:rFonts w:ascii="Times New Roman" w:hAnsi="Times New Roman" w:cs="Times New Roman"/>
              </w:rPr>
              <w:t>Кадастр.работы</w:t>
            </w:r>
            <w:proofErr w:type="spellEnd"/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Бюро кадастровых инженеров №1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295 000,00р.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295 000,00р.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Экспертиза 03.12.2020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ООО "ДВ Экспертиза Проект"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160 000,00р.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160 000,00р.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Инженерно-</w:t>
            </w:r>
            <w:proofErr w:type="spellStart"/>
            <w:r w:rsidRPr="00BE4F22">
              <w:rPr>
                <w:rFonts w:ascii="Times New Roman" w:hAnsi="Times New Roman" w:cs="Times New Roman"/>
              </w:rPr>
              <w:t>геодез.изыскания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июль 2019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proofErr w:type="spellStart"/>
            <w:r w:rsidRPr="00BE4F22">
              <w:rPr>
                <w:rFonts w:ascii="Times New Roman" w:hAnsi="Times New Roman" w:cs="Times New Roman"/>
              </w:rPr>
              <w:t>ПроектСтрой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ООО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4 978 336,00р.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4 978 336,00р.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тех.состояния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поселка(</w:t>
            </w:r>
            <w:proofErr w:type="spellStart"/>
            <w:r w:rsidRPr="00BE4F22">
              <w:rPr>
                <w:rFonts w:ascii="Times New Roman" w:hAnsi="Times New Roman" w:cs="Times New Roman"/>
              </w:rPr>
              <w:t>инж.сети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янв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СТДК ООО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712 000,00р.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712 000,00р.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Расходы на ОКС 2016-2019 г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36 964 856,35р.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36 964 856,35р.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803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Монтаж кровель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proofErr w:type="spellStart"/>
            <w:r w:rsidRPr="00BE4F22">
              <w:rPr>
                <w:rFonts w:ascii="Times New Roman" w:hAnsi="Times New Roman" w:cs="Times New Roman"/>
              </w:rPr>
              <w:t>Артемспецстрой</w:t>
            </w:r>
            <w:proofErr w:type="spellEnd"/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67 724 468,00р.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67 220 942,00р.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503 526,00р.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генерального (строительного) подряда от 07.10.2015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Генеральный подрядчик -ЗАО "Генподрядчик"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4 435 637,00р.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4 435 637,00р.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Расходы на корректировку проектов в период 2016-2019гг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ООО "Новая архитектура"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49 499 291,17р.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49 499 291,17р.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23 335 820,00р.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генерального (строительного) подряда №1 от (жилье) 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Генеральный подрядчик - ООО "ИСК "Аркада.                       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1 178 115 980,00р.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1 178 115 980,00р.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1 137 352 921,46р.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генерального (строительного) подряда №1701 от 05.05.2017 (инженерные сети)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Генеральный подрядчик - ООО "ИСК "Аркада.                        </w:t>
            </w:r>
          </w:p>
        </w:tc>
        <w:tc>
          <w:tcPr>
            <w:tcW w:w="1137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121 768 350,00р.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121 768 350,00р.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355 961 900,00р.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БФП1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генерального (строительного) подряда б/н от 05.05.2017 (городская дорого)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Генеральный подрядчик - ООО "ИСК "Аркада.                        </w:t>
            </w:r>
          </w:p>
        </w:tc>
        <w:tc>
          <w:tcPr>
            <w:tcW w:w="1137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178 121 233,00р.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178 121 233,00р.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158 544 000,00р.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БФП1</w:t>
            </w:r>
          </w:p>
        </w:tc>
      </w:tr>
      <w:tr w:rsidR="00BE4F22" w:rsidRPr="00BE4F22" w:rsidTr="00FF1034">
        <w:trPr>
          <w:trHeight w:val="246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генерального (строительного) подряда № РКС-Остров/1 от 25.02.2019</w:t>
            </w:r>
            <w:r w:rsidRPr="00BE4F22">
              <w:rPr>
                <w:rFonts w:ascii="Times New Roman" w:hAnsi="Times New Roman" w:cs="Times New Roman"/>
              </w:rPr>
              <w:br/>
              <w:t xml:space="preserve">предмет: выполнение комплекса строительно-монтажных работ в отношении 252 жилых домов на территории жилого поселка ЖСК «Остров» 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Генеральный подрядчик - ООО «РК Строй».                        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470 308 018,09р.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470 308 018,09р.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415 307 457,60р.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3105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генерального (строительного) подряда  №РКС-Остров/2 от 03.04.2019 </w:t>
            </w:r>
            <w:r w:rsidRPr="00BE4F22">
              <w:rPr>
                <w:rFonts w:ascii="Times New Roman" w:hAnsi="Times New Roman" w:cs="Times New Roman"/>
              </w:rPr>
              <w:br/>
              <w:t xml:space="preserve">предмет: выполнение комплекса строительно-монтажных и пусконаладочных работ в отношении инженерных сетей на территории жилого поселка ЖСК «Остров» 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Генеральный подрядчик - ООО «РК Строй».                         </w:t>
            </w:r>
          </w:p>
        </w:tc>
        <w:tc>
          <w:tcPr>
            <w:tcW w:w="1137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188 985 500,00р.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188 985 500,00р.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188 756 102,61р.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БФП1, БФП2, Паевые взносы ЖСК</w:t>
            </w:r>
          </w:p>
        </w:tc>
      </w:tr>
      <w:tr w:rsidR="00BE4F22" w:rsidRPr="00BE4F22" w:rsidTr="00FF1034">
        <w:trPr>
          <w:trHeight w:val="231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№ 08-33/206 (регистрационная дата 05.07.2017) о подключении (технологическом присоединении) объекта капитального строительства к сети газораспределения от 05.09.2017г.  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АО «Газпром газораспределение Дальний Восток»/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16 054 268,02р.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16 054 268,02р.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16 054 268,02р.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БФП1, БФП2, </w:t>
            </w:r>
          </w:p>
        </w:tc>
      </w:tr>
      <w:tr w:rsidR="00BE4F22" w:rsidRPr="00BE4F22" w:rsidTr="00FF1034">
        <w:trPr>
          <w:trHeight w:val="1665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08-08-101 технадзор, платеж 29.12.2017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АО «Газпром газораспределение Дальний Восток»/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3 052 019,02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3 052 019,02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3 052 019,02р.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Паевые взносы ЖСК</w:t>
            </w:r>
          </w:p>
        </w:tc>
      </w:tr>
      <w:tr w:rsidR="00BE4F22" w:rsidRPr="00BE4F22" w:rsidTr="00FF1034">
        <w:trPr>
          <w:trHeight w:val="3165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</w:t>
            </w:r>
            <w:r w:rsidRPr="00BE4F22">
              <w:rPr>
                <w:rFonts w:ascii="Times New Roman" w:hAnsi="Times New Roman" w:cs="Times New Roman"/>
              </w:rPr>
              <w:br/>
              <w:t xml:space="preserve">на обследование инженерно-технического состояния объектов незавершенного строительства № ТА-СП Групп/1 от 30 апреля 2020 г.  Выполнение инженерных изысканий  в виде обследования инженерно- технического состояния объектов незавершенного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строительст</w:t>
            </w:r>
            <w:proofErr w:type="spellEnd"/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Подрядчик - ООО «СП Групп»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2 080 000,00р.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2 080 000,00р.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1 040 000,00р.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БФП2, Паевые взносы ЖСК</w:t>
            </w:r>
          </w:p>
        </w:tc>
      </w:tr>
      <w:tr w:rsidR="00BE4F22" w:rsidRPr="00BE4F22" w:rsidTr="00FF1034">
        <w:trPr>
          <w:trHeight w:val="291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на осуществление строительного контроля № 11-02/2018-СК от 19.02.2018 в редакции Дополнительного соглашение № 3 от 15 мая 2019 г.       Выполнение функций Технического заказчика и осуществление строительного контроля. 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Подрядчик -  ООО «ИК «Триумфальная арка» / Заказчик ЖСК «Остров»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18 256 424,92р.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18 256 424,92р.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1 500 000,00р.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БФП2</w:t>
            </w:r>
          </w:p>
        </w:tc>
      </w:tr>
      <w:tr w:rsidR="00BE4F22" w:rsidRPr="00BE4F22" w:rsidTr="00FF1034">
        <w:trPr>
          <w:trHeight w:val="2389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Экспертиза проектов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КГАУ "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Примгосэкспертиза</w:t>
            </w:r>
            <w:proofErr w:type="spellEnd"/>
            <w:r w:rsidRPr="00BE4F2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57 786 428,10р.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57 786 428,10р.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16 611 282,05р.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БФП2, Паевые взносы ЖСК</w:t>
            </w:r>
          </w:p>
        </w:tc>
      </w:tr>
      <w:tr w:rsidR="00BE4F22" w:rsidRPr="00BE4F22" w:rsidTr="00FF1034">
        <w:trPr>
          <w:trHeight w:val="282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подряда на выполнение проектных работ № Остров-РКС/ПИР-1 от 20.11.2020 на корректировку проектной и разработку сметной документации по объекту: "Жилой поселок ЖСК "Остров" на п-</w:t>
            </w:r>
            <w:proofErr w:type="spellStart"/>
            <w:r w:rsidRPr="00BE4F22">
              <w:rPr>
                <w:rFonts w:ascii="Times New Roman" w:hAnsi="Times New Roman" w:cs="Times New Roman"/>
              </w:rPr>
              <w:t>ве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Саперном в г. Владивостоке, в соответствии с Заданием на проектирование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Подрядчик - ООО "РК Строй"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14 609 310,08р.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14 609 310,08р.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BE4F22" w:rsidRPr="00BE4F22" w:rsidTr="00FF1034">
        <w:trPr>
          <w:trHeight w:val="30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4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подряда на выполнение проектных работ № Остров-РКС/ПИР-2 от 24.12.2020                                                                    Разработка  проектной документации  инженерные сети  для прохождения экспертизы по объекту: «Жилой поселок ЖСК «Остров» на п-</w:t>
            </w:r>
            <w:proofErr w:type="spellStart"/>
            <w:r w:rsidRPr="00BE4F22">
              <w:rPr>
                <w:rFonts w:ascii="Times New Roman" w:hAnsi="Times New Roman" w:cs="Times New Roman"/>
              </w:rPr>
              <w:t>ве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Саперном в г. Владивостоке», в соответствии с  Заданием на проектирование.</w:t>
            </w:r>
          </w:p>
        </w:tc>
        <w:tc>
          <w:tcPr>
            <w:tcW w:w="322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Подрядчик - ООО "РК Строй"</w:t>
            </w:r>
          </w:p>
        </w:tc>
        <w:tc>
          <w:tcPr>
            <w:tcW w:w="1137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7 462 718,00р.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7 462 718,00р.</w:t>
            </w:r>
          </w:p>
        </w:tc>
        <w:tc>
          <w:tcPr>
            <w:tcW w:w="110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30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</w:t>
            </w:r>
            <w:proofErr w:type="gramStart"/>
            <w:r w:rsidRPr="00BE4F22">
              <w:rPr>
                <w:rFonts w:ascii="Times New Roman" w:hAnsi="Times New Roman" w:cs="Times New Roman"/>
              </w:rPr>
              <w:t>1  на</w:t>
            </w:r>
            <w:proofErr w:type="gramEnd"/>
            <w:r w:rsidRPr="00BE4F22">
              <w:rPr>
                <w:rFonts w:ascii="Times New Roman" w:hAnsi="Times New Roman" w:cs="Times New Roman"/>
              </w:rPr>
              <w:t xml:space="preserve"> выполнение функций технического заказчика и осуществление строительного контроля КППК от 30.11.2020   Выполнение функций Технического заказчика и осуществление строительного контроля. 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Технический заказчик - КППК "Единая дирекция по строительству объектов на территории Приморского края"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21 400 000,00р.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6 557 720,00р.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14 842 280,00р.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30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генерального подряда №1 от 03.12.2020 на выполнение комплекса строительно- монтажных и пусконаладочных работ, необходимых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ждя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завершения строительства 244 жилых домов, общей площадью 30 697,46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кв.м</w:t>
            </w:r>
            <w:proofErr w:type="spellEnd"/>
            <w:r w:rsidRPr="00BE4F22">
              <w:rPr>
                <w:rFonts w:ascii="Times New Roman" w:hAnsi="Times New Roman" w:cs="Times New Roman"/>
              </w:rPr>
              <w:t>. (в редакции дополнительного  соглашения № 5 от 26.11.2021)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Генеральный подрядчик - ООО «СУ 107».                        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1 000 000 000,00р.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379 815 979,40р.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400 000 000,00р.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471 441 812,46р.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148 742 208,14р.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24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генерального строительного подряда № 2 от 03.12.2020 на выполнение комплекса строительно- монтажных и пусконаладочных работ (в редакции дополнительного  соглашения № 5 от 26.11.2021)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Подрядчик - ООО "СУ-107"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594 275 430,00р.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118 476 591,20р.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297 131 715,00р.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79 960 866,00р.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395 837 972,80р.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банковского сопровождения ЖСК Остров БС №БС2021-188ОС (1%)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АО "Банк ДОМ.РФ", ЖСК "Остров"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2 062 568,15р.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2 062 568,15р.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банковского сопровождения ЖСК Остров БС №БС2021-171ОС (1%)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АО "Банк ДОМ.РФ", ЖСК "Остров"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2 025 250,00р.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2 025 250,00р.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BE4F22" w:rsidRPr="00BE4F22" w:rsidTr="00FF1034">
        <w:trPr>
          <w:trHeight w:val="15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б/н от 02.04.2021</w:t>
            </w:r>
            <w:r w:rsidRPr="00BE4F22">
              <w:rPr>
                <w:rFonts w:ascii="Times New Roman" w:hAnsi="Times New Roman" w:cs="Times New Roman"/>
              </w:rPr>
              <w:br/>
              <w:t xml:space="preserve"> на выполнение проектных работ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ООО "Новая архитектура" Заказчик - </w:t>
            </w:r>
            <w:proofErr w:type="spellStart"/>
            <w:r w:rsidRPr="00BE4F22">
              <w:rPr>
                <w:rFonts w:ascii="Times New Roman" w:hAnsi="Times New Roman" w:cs="Times New Roman"/>
              </w:rPr>
              <w:t>УДиБ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Администрации.г.Владивосток</w:t>
            </w:r>
            <w:proofErr w:type="spellEnd"/>
            <w:r w:rsidRPr="00BE4F22">
              <w:rPr>
                <w:rFonts w:ascii="Times New Roman" w:hAnsi="Times New Roman" w:cs="Times New Roman"/>
              </w:rPr>
              <w:t>,, плательщик - ЖСК "Остров"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3 500 000,00р.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3 500 000,00р.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BE4F22" w:rsidRPr="00BE4F22" w:rsidTr="00FF1034">
        <w:trPr>
          <w:trHeight w:val="15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на оказание услуг по охране объекта строительства - ЖСК "Остров" №2021/03/ЖСК от 28.04.2021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Подрядчик - ООО "СУ-107", Застройщик ЖСК "Остров", технический заказчик КППК "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Приморкрайстрой</w:t>
            </w:r>
            <w:proofErr w:type="spellEnd"/>
            <w:r w:rsidRPr="00BE4F22">
              <w:rPr>
                <w:rFonts w:ascii="Times New Roman" w:hAnsi="Times New Roman" w:cs="Times New Roman"/>
              </w:rPr>
              <w:t>", ООО ЧОП "</w:t>
            </w:r>
            <w:proofErr w:type="spellStart"/>
            <w:r w:rsidRPr="00BE4F22">
              <w:rPr>
                <w:rFonts w:ascii="Times New Roman" w:hAnsi="Times New Roman" w:cs="Times New Roman"/>
              </w:rPr>
              <w:t>Страга</w:t>
            </w:r>
            <w:proofErr w:type="spellEnd"/>
            <w:r w:rsidRPr="00BE4F2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11 172 000,00р.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11 172 000,00р.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BE4F22" w:rsidRPr="00BE4F22" w:rsidTr="00FF1034">
        <w:trPr>
          <w:trHeight w:val="12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 188-2021 (2021/04/ЖСК) на выполнение инженерно-геодезических работ от 28.05.2021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Исполнитель ООО "РОБОТС"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250 000,00р.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250 000,00р.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поставки пожарных резервуаров № 123 от 08.09.2021 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ООО "Металлообрабатывающая компания"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21 842 091,00р.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21 842 091,00р.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BE4F22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 2021/05/ЖСК на осуществление авторского надзора  от 01.06.2021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ООО "Новая архитектура"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560 000,00р.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560 000,00р.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банковского сопровождения ЖСК Остров № БС2021-518ОС (1%)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АО "Банк ДОМ.РФ"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218 420,93р.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218 420,93р.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 2021/07/ЖСК на проектное сопровождение от 27.09.2021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ООО "Новая архитектура"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5 200 000,00р.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2 620 000,00р.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430 000,00р.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2 150 000,00р.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BE4F22" w:rsidRPr="00BE4F22" w:rsidTr="00FF1034">
        <w:trPr>
          <w:trHeight w:val="15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 2022/08/ЖСК на оказание охранных услуг от 20.01.2022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Исполнитель - ООО ЧОО "</w:t>
            </w:r>
            <w:proofErr w:type="spellStart"/>
            <w:r w:rsidRPr="00BE4F22">
              <w:rPr>
                <w:rFonts w:ascii="Times New Roman" w:hAnsi="Times New Roman" w:cs="Times New Roman"/>
              </w:rPr>
              <w:t>Стрикс</w:t>
            </w:r>
            <w:proofErr w:type="spellEnd"/>
            <w:r w:rsidRPr="00BE4F22">
              <w:rPr>
                <w:rFonts w:ascii="Times New Roman" w:hAnsi="Times New Roman" w:cs="Times New Roman"/>
              </w:rPr>
              <w:t>" Заказчик - ООО "СУ-107"           Плательщик - ЖСК "Остров" в лице КППК "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Приморкрайстрой</w:t>
            </w:r>
            <w:proofErr w:type="spellEnd"/>
            <w:r w:rsidRPr="00BE4F2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11 035 200,00р.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4 058 400,00р.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6 976 800,00р.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 (16) 2022/09/ЖСК на осуществление авторского надзора от 01.03.2022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ООО "Новая архитектура"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719 999,00р.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205 714,00р.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514 285,00р.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подряда № 08-07/2019 на выполнение кадастровых работ от 10.07.2019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Исполнитель - ИП Кожевников Алексей Владимирович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4 500 000,00р.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1 350 000,00р.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1 350 000,00р.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3 150 000,00р.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БФП2 </w:t>
            </w:r>
          </w:p>
        </w:tc>
      </w:tr>
      <w:tr w:rsidR="0089213B" w:rsidRPr="00BE4F22" w:rsidTr="00FF1034">
        <w:trPr>
          <w:trHeight w:val="15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№ 2021/01/01 (2021/01/ЖСК) на техническое обслуживание и эксплуатацию объектов электросетевого хозяйства от 28.01.2021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Исполнитель - АО "ВМУ" "</w:t>
            </w:r>
            <w:proofErr w:type="spellStart"/>
            <w:r w:rsidRPr="00BE4F22">
              <w:rPr>
                <w:rFonts w:ascii="Times New Roman" w:hAnsi="Times New Roman" w:cs="Times New Roman"/>
              </w:rPr>
              <w:t>Дальэлектромонтаж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1 081 384,23р.</w:t>
            </w:r>
          </w:p>
        </w:tc>
        <w:tc>
          <w:tcPr>
            <w:tcW w:w="1175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1 081 384,23р.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ЖСК</w:t>
            </w:r>
          </w:p>
        </w:tc>
      </w:tr>
      <w:tr w:rsidR="00BE4F22" w:rsidRPr="00BE4F22" w:rsidTr="00FF1034">
        <w:trPr>
          <w:trHeight w:val="855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Договор строительного подряда на завершение строительства МКД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Исполнитель - ООО "Интеллект инжиниринг</w:t>
            </w:r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368 039 000,00р.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368 039 000,00р.</w:t>
            </w:r>
          </w:p>
        </w:tc>
        <w:tc>
          <w:tcPr>
            <w:tcW w:w="169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Бюджет Приморского края</w:t>
            </w:r>
          </w:p>
        </w:tc>
      </w:tr>
      <w:tr w:rsidR="00BE4F22" w:rsidRPr="00BE4F22" w:rsidTr="00FF1034">
        <w:trPr>
          <w:trHeight w:val="900"/>
        </w:trPr>
        <w:tc>
          <w:tcPr>
            <w:tcW w:w="709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4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 xml:space="preserve">Договор строительного подряда на завершение строительства </w:t>
            </w:r>
            <w:proofErr w:type="spellStart"/>
            <w:r w:rsidRPr="00BE4F22">
              <w:rPr>
                <w:rFonts w:ascii="Times New Roman" w:hAnsi="Times New Roman" w:cs="Times New Roman"/>
              </w:rPr>
              <w:t>подьездной</w:t>
            </w:r>
            <w:proofErr w:type="spellEnd"/>
            <w:r w:rsidRPr="00BE4F22">
              <w:rPr>
                <w:rFonts w:ascii="Times New Roman" w:hAnsi="Times New Roman" w:cs="Times New Roman"/>
              </w:rPr>
              <w:t xml:space="preserve"> автомобильной дороги</w:t>
            </w:r>
          </w:p>
        </w:tc>
        <w:tc>
          <w:tcPr>
            <w:tcW w:w="322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proofErr w:type="spellStart"/>
            <w:r w:rsidRPr="00BE4F22"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1137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250 000 000,00р.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0,00р.</w:t>
            </w:r>
          </w:p>
        </w:tc>
        <w:tc>
          <w:tcPr>
            <w:tcW w:w="1691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250 000 000,00р.</w:t>
            </w:r>
          </w:p>
        </w:tc>
        <w:tc>
          <w:tcPr>
            <w:tcW w:w="1691" w:type="dxa"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Бюджет Приморского края</w:t>
            </w:r>
          </w:p>
        </w:tc>
      </w:tr>
      <w:tr w:rsidR="0089213B" w:rsidRPr="00BE4F22" w:rsidTr="00FF1034">
        <w:trPr>
          <w:trHeight w:val="300"/>
        </w:trPr>
        <w:tc>
          <w:tcPr>
            <w:tcW w:w="709" w:type="dxa"/>
            <w:noWrap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noWrap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  <w:b/>
                <w:bCs/>
              </w:rPr>
            </w:pPr>
            <w:r w:rsidRPr="00BE4F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7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  <w:b/>
                <w:bCs/>
              </w:rPr>
            </w:pPr>
            <w:r w:rsidRPr="00BE4F22">
              <w:rPr>
                <w:rFonts w:ascii="Times New Roman" w:hAnsi="Times New Roman" w:cs="Times New Roman"/>
                <w:b/>
                <w:bCs/>
              </w:rPr>
              <w:t>4 843 339 571,78р.</w:t>
            </w:r>
          </w:p>
        </w:tc>
        <w:tc>
          <w:tcPr>
            <w:tcW w:w="1175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  <w:b/>
                <w:bCs/>
              </w:rPr>
            </w:pPr>
            <w:r w:rsidRPr="00BE4F22">
              <w:rPr>
                <w:rFonts w:ascii="Times New Roman" w:hAnsi="Times New Roman" w:cs="Times New Roman"/>
                <w:b/>
                <w:bCs/>
              </w:rPr>
              <w:t>3 079 213 150,11р.</w:t>
            </w:r>
          </w:p>
        </w:tc>
        <w:tc>
          <w:tcPr>
            <w:tcW w:w="1104" w:type="dxa"/>
            <w:noWrap/>
            <w:hideMark/>
          </w:tcPr>
          <w:p w:rsidR="00BE4F22" w:rsidRPr="00BE4F22" w:rsidRDefault="00BE4F22">
            <w:pPr>
              <w:rPr>
                <w:rFonts w:ascii="Times New Roman" w:hAnsi="Times New Roman" w:cs="Times New Roman"/>
              </w:rPr>
            </w:pPr>
            <w:r w:rsidRPr="00BE4F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  <w:b/>
                <w:bCs/>
              </w:rPr>
            </w:pPr>
            <w:r w:rsidRPr="00BE4F22">
              <w:rPr>
                <w:rFonts w:ascii="Times New Roman" w:hAnsi="Times New Roman" w:cs="Times New Roman"/>
                <w:b/>
                <w:bCs/>
              </w:rPr>
              <w:t>572 792 491,50р.</w:t>
            </w:r>
          </w:p>
        </w:tc>
        <w:tc>
          <w:tcPr>
            <w:tcW w:w="1691" w:type="dxa"/>
            <w:noWrap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  <w:b/>
                <w:bCs/>
              </w:rPr>
            </w:pPr>
            <w:r w:rsidRPr="00BE4F22">
              <w:rPr>
                <w:rFonts w:ascii="Times New Roman" w:hAnsi="Times New Roman" w:cs="Times New Roman"/>
                <w:b/>
                <w:bCs/>
              </w:rPr>
              <w:t>1 191 333 930,17р.</w:t>
            </w:r>
          </w:p>
        </w:tc>
        <w:tc>
          <w:tcPr>
            <w:tcW w:w="1691" w:type="dxa"/>
            <w:hideMark/>
          </w:tcPr>
          <w:p w:rsidR="00BE4F22" w:rsidRPr="00BE4F22" w:rsidRDefault="00BE4F22" w:rsidP="00BE4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35DD" w:rsidRPr="00BE4F22" w:rsidRDefault="006635DD">
      <w:pPr>
        <w:rPr>
          <w:rFonts w:ascii="Times New Roman" w:hAnsi="Times New Roman" w:cs="Times New Roman"/>
        </w:rPr>
      </w:pPr>
    </w:p>
    <w:sectPr w:rsidR="006635DD" w:rsidRPr="00BE4F22" w:rsidSect="00BE4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22"/>
    <w:rsid w:val="00593C40"/>
    <w:rsid w:val="006635DD"/>
    <w:rsid w:val="0089213B"/>
    <w:rsid w:val="008C1808"/>
    <w:rsid w:val="00BE4F22"/>
    <w:rsid w:val="00F41944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30A7-E653-440E-99F4-7DDEE3F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22"/>
    <w:pPr>
      <w:ind w:left="720"/>
      <w:contextualSpacing/>
    </w:pPr>
  </w:style>
  <w:style w:type="table" w:styleId="a4">
    <w:name w:val="Table Grid"/>
    <w:basedOn w:val="a1"/>
    <w:uiPriority w:val="39"/>
    <w:rsid w:val="00BE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</dc:creator>
  <cp:keywords/>
  <dc:description/>
  <cp:lastModifiedBy>Somov</cp:lastModifiedBy>
  <cp:revision>2</cp:revision>
  <dcterms:created xsi:type="dcterms:W3CDTF">2022-08-03T05:02:00Z</dcterms:created>
  <dcterms:modified xsi:type="dcterms:W3CDTF">2022-08-03T05:02:00Z</dcterms:modified>
</cp:coreProperties>
</file>